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1C" w:rsidRPr="009B4D1C" w:rsidRDefault="009B4D1C" w:rsidP="009B4D1C">
      <w:pPr>
        <w:rPr>
          <w:i/>
        </w:rPr>
      </w:pPr>
      <w:bookmarkStart w:id="0" w:name="_GoBack"/>
      <w:bookmarkEnd w:id="0"/>
      <w:r w:rsidRPr="009B4D1C">
        <w:rPr>
          <w:i/>
        </w:rPr>
        <w:t>NOTE: The following analysis pertains to the Operating Fund only.</w:t>
      </w:r>
      <w:r>
        <w:rPr>
          <w:i/>
        </w:rPr>
        <w:t xml:space="preserve"> </w:t>
      </w:r>
      <w:r w:rsidRPr="009B4D1C">
        <w:rPr>
          <w:i/>
        </w:rPr>
        <w:t xml:space="preserve"> Further analysis will need to be conducted </w:t>
      </w:r>
      <w:r>
        <w:rPr>
          <w:i/>
        </w:rPr>
        <w:t>to incorporate other funding sources.  This is meant to provide a starting point for the conversation</w:t>
      </w:r>
      <w:r w:rsidR="00262054">
        <w:rPr>
          <w:i/>
        </w:rPr>
        <w:t>.  Budget category assumptions</w:t>
      </w:r>
      <w:r>
        <w:rPr>
          <w:i/>
        </w:rPr>
        <w:t xml:space="preserve"> will continue to be refined in URPC discussions and as we gather insight from </w:t>
      </w:r>
      <w:r w:rsidR="00262054">
        <w:rPr>
          <w:i/>
        </w:rPr>
        <w:t xml:space="preserve">our </w:t>
      </w:r>
      <w:r>
        <w:rPr>
          <w:i/>
        </w:rPr>
        <w:t xml:space="preserve">respective data experts. </w:t>
      </w:r>
    </w:p>
    <w:p w:rsidR="00DF0CC0" w:rsidRPr="004D422E" w:rsidRDefault="00D90AE1" w:rsidP="004D422E">
      <w:pPr>
        <w:pStyle w:val="Heading2"/>
      </w:pPr>
      <w:r w:rsidRPr="004D422E">
        <w:t>Investment in Strategic Planning Priorities (Dennis, 2%)</w:t>
      </w:r>
    </w:p>
    <w:p w:rsidR="00DF0CC0" w:rsidRDefault="00D90AE1" w:rsidP="004D422E">
      <w:pPr>
        <w:pStyle w:val="ListParagraph"/>
        <w:numPr>
          <w:ilvl w:val="0"/>
          <w:numId w:val="2"/>
        </w:numPr>
      </w:pPr>
      <w:r w:rsidRPr="004D422E">
        <w:t>Innovation, experimentation, rewards, incentives</w:t>
      </w:r>
    </w:p>
    <w:p w:rsidR="004D422E" w:rsidRDefault="004D422E" w:rsidP="004D422E">
      <w:pPr>
        <w:pStyle w:val="ListParagraph"/>
        <w:numPr>
          <w:ilvl w:val="0"/>
          <w:numId w:val="2"/>
        </w:numPr>
      </w:pPr>
      <w:r>
        <w:t>Investments should</w:t>
      </w:r>
      <w:r w:rsidR="00E116A9">
        <w:t xml:space="preserve"> be one-time, allowing the strategic</w:t>
      </w:r>
      <w:r>
        <w:t xml:space="preserve"> </w:t>
      </w:r>
      <w:r w:rsidR="00E116A9">
        <w:t xml:space="preserve">initiatives </w:t>
      </w:r>
      <w:r>
        <w:t xml:space="preserve">pool </w:t>
      </w:r>
      <w:r w:rsidR="00E116A9">
        <w:t>to replenish</w:t>
      </w:r>
      <w:r>
        <w:t xml:space="preserve"> annually</w:t>
      </w:r>
    </w:p>
    <w:p w:rsidR="004D422E" w:rsidRDefault="004D422E" w:rsidP="004D422E">
      <w:pPr>
        <w:pStyle w:val="ListParagraph"/>
        <w:numPr>
          <w:ilvl w:val="0"/>
          <w:numId w:val="2"/>
        </w:numPr>
      </w:pPr>
      <w:r>
        <w:t>Successful initiatives have potential to become ongoing base budget allocations over time</w:t>
      </w:r>
    </w:p>
    <w:p w:rsidR="00E116A9" w:rsidRDefault="00E116A9" w:rsidP="004D422E">
      <w:pPr>
        <w:pStyle w:val="ListParagraph"/>
        <w:numPr>
          <w:ilvl w:val="0"/>
          <w:numId w:val="2"/>
        </w:numPr>
        <w:rPr>
          <w:i/>
        </w:rPr>
      </w:pPr>
      <w:r w:rsidRPr="00E116A9">
        <w:rPr>
          <w:i/>
        </w:rPr>
        <w:t>2015-16 Strategic Initiatives Budget: $0</w:t>
      </w:r>
    </w:p>
    <w:p w:rsidR="004660B8" w:rsidRPr="004660B8" w:rsidRDefault="004660B8" w:rsidP="004660B8">
      <w:pPr>
        <w:pStyle w:val="ListParagraph"/>
        <w:numPr>
          <w:ilvl w:val="0"/>
          <w:numId w:val="2"/>
        </w:numPr>
      </w:pPr>
      <w:r>
        <w:t>2</w:t>
      </w:r>
      <w:r w:rsidRPr="004660B8">
        <w:t>% = $</w:t>
      </w:r>
      <w:r>
        <w:t>2.25</w:t>
      </w:r>
      <w:r w:rsidRPr="004660B8">
        <w:t xml:space="preserve"> million</w:t>
      </w:r>
    </w:p>
    <w:p w:rsidR="00DF0CC0" w:rsidRPr="004D422E" w:rsidRDefault="00D90AE1" w:rsidP="004D422E">
      <w:pPr>
        <w:pStyle w:val="Heading2"/>
      </w:pPr>
      <w:r w:rsidRPr="004D422E">
        <w:t>Continuing and Sustaining Assets</w:t>
      </w:r>
    </w:p>
    <w:p w:rsidR="00B672A9" w:rsidRDefault="00B672A9" w:rsidP="00B672A9">
      <w:pPr>
        <w:pStyle w:val="Heading3"/>
      </w:pPr>
      <w:r w:rsidRPr="004D422E">
        <w:t>Maintain/improve personnel (faculty/staff)</w:t>
      </w:r>
    </w:p>
    <w:p w:rsidR="00B672A9" w:rsidRDefault="00B672A9" w:rsidP="00B672A9">
      <w:pPr>
        <w:pStyle w:val="ListParagraph"/>
        <w:numPr>
          <w:ilvl w:val="0"/>
          <w:numId w:val="5"/>
        </w:numPr>
      </w:pPr>
      <w:r>
        <w:t>75% of our budget is spent on personnel, 84% when excluding student financial aid</w:t>
      </w:r>
    </w:p>
    <w:p w:rsidR="00B672A9" w:rsidRPr="00333D6B" w:rsidRDefault="00B672A9" w:rsidP="00B672A9">
      <w:pPr>
        <w:pStyle w:val="ListParagraph"/>
        <w:numPr>
          <w:ilvl w:val="0"/>
          <w:numId w:val="5"/>
        </w:numPr>
        <w:rPr>
          <w:i/>
        </w:rPr>
      </w:pPr>
      <w:r w:rsidRPr="00333D6B">
        <w:rPr>
          <w:i/>
        </w:rPr>
        <w:t>2015-16 Personnel (Salaries and Benefits) Budget: $93</w:t>
      </w:r>
      <w:r w:rsidR="001B22B6">
        <w:rPr>
          <w:i/>
        </w:rPr>
        <w:t>.</w:t>
      </w:r>
      <w:r w:rsidR="00C42B13">
        <w:rPr>
          <w:i/>
        </w:rPr>
        <w:t>2</w:t>
      </w:r>
      <w:r w:rsidR="001B22B6">
        <w:rPr>
          <w:i/>
        </w:rPr>
        <w:t xml:space="preserve">5 </w:t>
      </w:r>
      <w:r w:rsidRPr="00333D6B">
        <w:rPr>
          <w:i/>
        </w:rPr>
        <w:t>mil</w:t>
      </w:r>
      <w:r w:rsidR="001625B5">
        <w:rPr>
          <w:i/>
        </w:rPr>
        <w:t>lion</w:t>
      </w:r>
      <w:r w:rsidR="00C42B13">
        <w:rPr>
          <w:i/>
        </w:rPr>
        <w:t xml:space="preserve"> ($93.65 million including $400k in student assistants reflected in student section below)</w:t>
      </w:r>
    </w:p>
    <w:p w:rsidR="00B672A9" w:rsidRDefault="00B672A9" w:rsidP="00B672A9">
      <w:pPr>
        <w:pStyle w:val="ListParagraph"/>
        <w:numPr>
          <w:ilvl w:val="1"/>
          <w:numId w:val="5"/>
        </w:numPr>
      </w:pPr>
      <w:r>
        <w:t xml:space="preserve">This includes approximately $9.4 million for </w:t>
      </w:r>
      <w:r w:rsidR="001625B5">
        <w:t>lecturers</w:t>
      </w:r>
      <w:r>
        <w:t xml:space="preserve">, $400k for seasonal staff and overtime costs, $600k for TAs and GAs, and </w:t>
      </w:r>
      <w:r w:rsidR="00C42B13">
        <w:t>$1.0 million student assistants (</w:t>
      </w:r>
      <w:r>
        <w:t xml:space="preserve">$1.4 million </w:t>
      </w:r>
      <w:r w:rsidR="00C42B13">
        <w:t>including</w:t>
      </w:r>
      <w:r>
        <w:t xml:space="preserve"> student assistants</w:t>
      </w:r>
      <w:r w:rsidR="00C42B13">
        <w:t xml:space="preserve"> reflected in student section)</w:t>
      </w:r>
    </w:p>
    <w:p w:rsidR="00B672A9" w:rsidRPr="0081114A" w:rsidRDefault="00B672A9" w:rsidP="00B672A9">
      <w:pPr>
        <w:pStyle w:val="ListParagraph"/>
        <w:numPr>
          <w:ilvl w:val="0"/>
          <w:numId w:val="5"/>
        </w:numPr>
        <w:rPr>
          <w:i/>
        </w:rPr>
      </w:pPr>
      <w:r w:rsidRPr="0081114A">
        <w:rPr>
          <w:i/>
        </w:rPr>
        <w:t xml:space="preserve">2015-16 Travel and Professional Development Budget: </w:t>
      </w:r>
      <w:r w:rsidR="009B4D1C">
        <w:rPr>
          <w:i/>
        </w:rPr>
        <w:t>$65</w:t>
      </w:r>
      <w:r w:rsidRPr="0081114A">
        <w:rPr>
          <w:i/>
        </w:rPr>
        <w:t>0k</w:t>
      </w:r>
      <w:r w:rsidR="009B4D1C">
        <w:rPr>
          <w:i/>
        </w:rPr>
        <w:t xml:space="preserve"> (.5%)</w:t>
      </w:r>
    </w:p>
    <w:p w:rsidR="00B672A9" w:rsidRDefault="00B672A9" w:rsidP="00B672A9">
      <w:pPr>
        <w:pStyle w:val="ListParagraph"/>
        <w:numPr>
          <w:ilvl w:val="1"/>
          <w:numId w:val="5"/>
        </w:numPr>
      </w:pPr>
      <w:r>
        <w:t>The travel portion excludes foreign and Admissions department travel</w:t>
      </w:r>
    </w:p>
    <w:p w:rsidR="00B672A9" w:rsidRPr="00883F23" w:rsidRDefault="00B672A9" w:rsidP="00B672A9">
      <w:pPr>
        <w:pStyle w:val="ListParagraph"/>
        <w:numPr>
          <w:ilvl w:val="1"/>
          <w:numId w:val="5"/>
        </w:numPr>
      </w:pPr>
      <w:r>
        <w:t>Previous three year spending ranges from $1.0 - $1.3 million per year</w:t>
      </w:r>
    </w:p>
    <w:p w:rsidR="00B672A9" w:rsidRDefault="00B672A9" w:rsidP="00B672A9">
      <w:pPr>
        <w:pStyle w:val="Heading3"/>
      </w:pPr>
      <w:r w:rsidRPr="004D422E">
        <w:t>Maintain/improve programs</w:t>
      </w:r>
    </w:p>
    <w:p w:rsidR="004660B8" w:rsidRDefault="004660B8" w:rsidP="004660B8">
      <w:pPr>
        <w:pStyle w:val="ListParagraph"/>
        <w:numPr>
          <w:ilvl w:val="0"/>
          <w:numId w:val="9"/>
        </w:numPr>
      </w:pPr>
      <w:r>
        <w:t>Much of HSU’s investment in maintaining and improving students is reflected in our personnel assets</w:t>
      </w:r>
    </w:p>
    <w:p w:rsidR="001625B5" w:rsidRDefault="004660B8" w:rsidP="001625B5">
      <w:pPr>
        <w:pStyle w:val="ListParagraph"/>
        <w:numPr>
          <w:ilvl w:val="0"/>
          <w:numId w:val="9"/>
        </w:numPr>
      </w:pPr>
      <w:r>
        <w:t>How do we quantify our investment in curricula?</w:t>
      </w:r>
    </w:p>
    <w:p w:rsidR="00B672A9" w:rsidRDefault="00B672A9" w:rsidP="00B672A9">
      <w:pPr>
        <w:pStyle w:val="Heading3"/>
      </w:pPr>
      <w:r w:rsidRPr="004D422E">
        <w:t xml:space="preserve">Maintain/improve students </w:t>
      </w:r>
    </w:p>
    <w:p w:rsidR="001625B5" w:rsidRDefault="001625B5" w:rsidP="001625B5">
      <w:pPr>
        <w:pStyle w:val="ListParagraph"/>
        <w:numPr>
          <w:ilvl w:val="0"/>
          <w:numId w:val="8"/>
        </w:numPr>
      </w:pPr>
      <w:r>
        <w:t>Much of HSU’s investment in maintaining and improving students is reflected in our personnel assets</w:t>
      </w:r>
      <w:r w:rsidR="009B4D1C">
        <w:t>.  Only the student assistant budget</w:t>
      </w:r>
      <w:r w:rsidR="0089506F">
        <w:t>s in Student Affairs, RISS and International Programs are currently reflected below</w:t>
      </w:r>
      <w:r w:rsidR="009B4D1C">
        <w:t>.</w:t>
      </w:r>
      <w:r w:rsidR="006536AD">
        <w:t xml:space="preserve">  What other components should we include?</w:t>
      </w:r>
    </w:p>
    <w:p w:rsidR="006536AD" w:rsidRPr="006536AD" w:rsidRDefault="006536AD" w:rsidP="001625B5">
      <w:pPr>
        <w:pStyle w:val="ListParagraph"/>
        <w:numPr>
          <w:ilvl w:val="0"/>
          <w:numId w:val="8"/>
        </w:numPr>
        <w:rPr>
          <w:i/>
        </w:rPr>
      </w:pPr>
      <w:r>
        <w:t>Current 2015-16 Budget: $14.2 million (11.4%)</w:t>
      </w:r>
    </w:p>
    <w:p w:rsidR="001625B5" w:rsidRDefault="001625B5" w:rsidP="006536AD">
      <w:pPr>
        <w:pStyle w:val="ListParagraph"/>
        <w:numPr>
          <w:ilvl w:val="1"/>
          <w:numId w:val="8"/>
        </w:numPr>
        <w:rPr>
          <w:i/>
        </w:rPr>
      </w:pPr>
      <w:r w:rsidRPr="001625B5">
        <w:rPr>
          <w:i/>
        </w:rPr>
        <w:t>Student Aid (State University Grant (SUG), EOP, Grad Fellowship) Budget: $13.8 million</w:t>
      </w:r>
    </w:p>
    <w:p w:rsidR="009B4D1C" w:rsidRPr="001625B5" w:rsidRDefault="009B4D1C" w:rsidP="006536AD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Studen</w:t>
      </w:r>
      <w:r w:rsidR="0089506F">
        <w:rPr>
          <w:i/>
        </w:rPr>
        <w:t xml:space="preserve">t Assistants in </w:t>
      </w:r>
      <w:r>
        <w:rPr>
          <w:i/>
        </w:rPr>
        <w:t>Student A</w:t>
      </w:r>
      <w:r w:rsidR="0089506F">
        <w:rPr>
          <w:i/>
        </w:rPr>
        <w:t xml:space="preserve">ffairs, </w:t>
      </w:r>
      <w:r>
        <w:rPr>
          <w:i/>
        </w:rPr>
        <w:t>RISS</w:t>
      </w:r>
      <w:r w:rsidR="0089506F">
        <w:rPr>
          <w:i/>
        </w:rPr>
        <w:t>, International Programs</w:t>
      </w:r>
      <w:r>
        <w:rPr>
          <w:i/>
        </w:rPr>
        <w:t xml:space="preserve">: </w:t>
      </w:r>
      <w:r w:rsidR="00C42B13">
        <w:rPr>
          <w:i/>
        </w:rPr>
        <w:t>$40</w:t>
      </w:r>
      <w:r w:rsidR="0089506F">
        <w:rPr>
          <w:i/>
        </w:rPr>
        <w:t xml:space="preserve">0k </w:t>
      </w:r>
    </w:p>
    <w:p w:rsidR="00DF0CC0" w:rsidRDefault="00B672A9" w:rsidP="004D422E">
      <w:pPr>
        <w:pStyle w:val="Heading3"/>
      </w:pPr>
      <w:r>
        <w:t>Maintain/improve facilities</w:t>
      </w:r>
      <w:r w:rsidR="00D90AE1" w:rsidRPr="004D422E">
        <w:t xml:space="preserve"> (Dennis, 2% CRV)</w:t>
      </w:r>
    </w:p>
    <w:p w:rsidR="00E116A9" w:rsidRDefault="004D422E" w:rsidP="004D422E">
      <w:pPr>
        <w:pStyle w:val="ListParagraph"/>
        <w:numPr>
          <w:ilvl w:val="0"/>
          <w:numId w:val="3"/>
        </w:numPr>
      </w:pPr>
      <w:r>
        <w:t>The current replacement value (CRV) of our facilities is $674 million, and this is a low estimate</w:t>
      </w:r>
      <w:r w:rsidR="00E116A9">
        <w:t>.</w:t>
      </w:r>
    </w:p>
    <w:p w:rsidR="004D422E" w:rsidRDefault="004D422E" w:rsidP="004D422E">
      <w:pPr>
        <w:pStyle w:val="ListParagraph"/>
        <w:numPr>
          <w:ilvl w:val="0"/>
          <w:numId w:val="3"/>
        </w:numPr>
      </w:pPr>
      <w:r>
        <w:lastRenderedPageBreak/>
        <w:t xml:space="preserve">60% of our buildings are more than 40 years old.  </w:t>
      </w:r>
    </w:p>
    <w:p w:rsidR="00E116A9" w:rsidRPr="00E116A9" w:rsidRDefault="00E116A9" w:rsidP="004D422E">
      <w:pPr>
        <w:pStyle w:val="ListParagraph"/>
        <w:numPr>
          <w:ilvl w:val="0"/>
          <w:numId w:val="3"/>
        </w:numPr>
        <w:rPr>
          <w:i/>
        </w:rPr>
      </w:pPr>
      <w:r w:rsidRPr="00E116A9">
        <w:rPr>
          <w:i/>
        </w:rPr>
        <w:t xml:space="preserve">2015-16 Deferred Maintenance Budget: $0 </w:t>
      </w:r>
      <w:r w:rsidR="00883F23">
        <w:rPr>
          <w:i/>
        </w:rPr>
        <w:t>(There were one-time allocations in previous years)</w:t>
      </w:r>
    </w:p>
    <w:p w:rsidR="00E116A9" w:rsidRDefault="00E116A9" w:rsidP="00E116A9">
      <w:pPr>
        <w:pStyle w:val="ListParagraph"/>
        <w:numPr>
          <w:ilvl w:val="0"/>
          <w:numId w:val="3"/>
        </w:numPr>
      </w:pPr>
      <w:r>
        <w:t>Note: We are receiving funding from the CO for five capital projects this year totaling $15 mil</w:t>
      </w:r>
      <w:r w:rsidR="00B672A9">
        <w:t>lion</w:t>
      </w:r>
    </w:p>
    <w:p w:rsidR="00E116A9" w:rsidRDefault="00E116A9" w:rsidP="00E116A9">
      <w:pPr>
        <w:pStyle w:val="ListParagraph"/>
        <w:numPr>
          <w:ilvl w:val="1"/>
          <w:numId w:val="3"/>
        </w:numPr>
      </w:pPr>
      <w:r>
        <w:t>Library Seismic</w:t>
      </w:r>
      <w:r w:rsidR="00883F23">
        <w:t xml:space="preserve"> Upgrade</w:t>
      </w:r>
    </w:p>
    <w:p w:rsidR="00E116A9" w:rsidRDefault="00883F23" w:rsidP="00E116A9">
      <w:pPr>
        <w:pStyle w:val="ListParagraph"/>
        <w:numPr>
          <w:ilvl w:val="1"/>
          <w:numId w:val="3"/>
        </w:numPr>
      </w:pPr>
      <w:r>
        <w:t>Van Duzer Theatre Seismic Upgrade</w:t>
      </w:r>
    </w:p>
    <w:p w:rsidR="00883F23" w:rsidRDefault="00883F23" w:rsidP="00E116A9">
      <w:pPr>
        <w:pStyle w:val="ListParagraph"/>
        <w:numPr>
          <w:ilvl w:val="1"/>
          <w:numId w:val="3"/>
        </w:numPr>
      </w:pPr>
      <w:r>
        <w:t>Switchgear Replacement</w:t>
      </w:r>
    </w:p>
    <w:p w:rsidR="00883F23" w:rsidRDefault="00883F23" w:rsidP="00E116A9">
      <w:pPr>
        <w:pStyle w:val="ListParagraph"/>
        <w:numPr>
          <w:ilvl w:val="1"/>
          <w:numId w:val="3"/>
        </w:numPr>
      </w:pPr>
      <w:r>
        <w:t>Fire System Replacement, Phase 1</w:t>
      </w:r>
    </w:p>
    <w:p w:rsidR="00883F23" w:rsidRDefault="00883F23" w:rsidP="00E116A9">
      <w:pPr>
        <w:pStyle w:val="ListParagraph"/>
        <w:numPr>
          <w:ilvl w:val="1"/>
          <w:numId w:val="3"/>
        </w:numPr>
      </w:pPr>
      <w:r>
        <w:t>Substation Replacement</w:t>
      </w:r>
    </w:p>
    <w:p w:rsidR="00E116A9" w:rsidRDefault="00E116A9" w:rsidP="004D422E">
      <w:pPr>
        <w:pStyle w:val="ListParagraph"/>
        <w:numPr>
          <w:ilvl w:val="0"/>
          <w:numId w:val="3"/>
        </w:numPr>
        <w:rPr>
          <w:i/>
        </w:rPr>
      </w:pPr>
      <w:r w:rsidRPr="00E116A9">
        <w:rPr>
          <w:i/>
        </w:rPr>
        <w:t>2015-16 Routine Repairs and Maintenance Budget:</w:t>
      </w:r>
      <w:r w:rsidR="001B22B6">
        <w:rPr>
          <w:i/>
        </w:rPr>
        <w:t xml:space="preserve"> $7</w:t>
      </w:r>
      <w:r w:rsidRPr="00E116A9">
        <w:rPr>
          <w:i/>
        </w:rPr>
        <w:t xml:space="preserve">00k </w:t>
      </w:r>
      <w:r w:rsidR="009B4D1C">
        <w:rPr>
          <w:i/>
        </w:rPr>
        <w:t xml:space="preserve">(.6%) - </w:t>
      </w:r>
      <w:r w:rsidR="001B22B6">
        <w:rPr>
          <w:i/>
        </w:rPr>
        <w:t xml:space="preserve">does not </w:t>
      </w:r>
      <w:r w:rsidR="009B4D1C">
        <w:rPr>
          <w:i/>
        </w:rPr>
        <w:t>reflect personnel related costs</w:t>
      </w:r>
    </w:p>
    <w:p w:rsidR="004660B8" w:rsidRPr="00E116A9" w:rsidRDefault="004660B8" w:rsidP="004D422E">
      <w:pPr>
        <w:pStyle w:val="ListParagraph"/>
        <w:numPr>
          <w:ilvl w:val="0"/>
          <w:numId w:val="3"/>
        </w:numPr>
        <w:rPr>
          <w:i/>
        </w:rPr>
      </w:pPr>
      <w:r>
        <w:t>2% of CRV = $13.5 million</w:t>
      </w:r>
      <w:r w:rsidR="009B4D1C">
        <w:t xml:space="preserve"> (10.8% of 2015-16 Budget)</w:t>
      </w:r>
    </w:p>
    <w:p w:rsidR="00DF0CC0" w:rsidRDefault="009B4D1C" w:rsidP="004D422E">
      <w:pPr>
        <w:pStyle w:val="Heading3"/>
      </w:pPr>
      <w:r>
        <w:t>Maintain/r</w:t>
      </w:r>
      <w:r w:rsidR="00D90AE1" w:rsidRPr="004D422E">
        <w:t xml:space="preserve">efresh </w:t>
      </w:r>
      <w:r>
        <w:t>e</w:t>
      </w:r>
      <w:r w:rsidR="00D90AE1" w:rsidRPr="004D422E">
        <w:t>quipment</w:t>
      </w:r>
      <w:r w:rsidR="001625B5">
        <w:t>,</w:t>
      </w:r>
      <w:r w:rsidR="00D90AE1" w:rsidRPr="004D422E">
        <w:t xml:space="preserve"> including IT</w:t>
      </w:r>
    </w:p>
    <w:p w:rsidR="00E116A9" w:rsidRDefault="00E116A9" w:rsidP="00E116A9">
      <w:pPr>
        <w:pStyle w:val="ListParagraph"/>
        <w:numPr>
          <w:ilvl w:val="0"/>
          <w:numId w:val="4"/>
        </w:numPr>
      </w:pPr>
      <w:r>
        <w:t xml:space="preserve">There is no central refresh process, refreshes often occur when one-time funding is available </w:t>
      </w:r>
    </w:p>
    <w:p w:rsidR="00E116A9" w:rsidRDefault="00883F23" w:rsidP="00E116A9">
      <w:pPr>
        <w:pStyle w:val="ListParagraph"/>
        <w:numPr>
          <w:ilvl w:val="0"/>
          <w:numId w:val="4"/>
        </w:numPr>
      </w:pPr>
      <w:r>
        <w:t>Departments with resources refresh computers, departments with no resources do not</w:t>
      </w:r>
    </w:p>
    <w:p w:rsidR="00883F23" w:rsidRDefault="00883F23" w:rsidP="00883F23">
      <w:pPr>
        <w:pStyle w:val="ListParagraph"/>
        <w:numPr>
          <w:ilvl w:val="1"/>
          <w:numId w:val="4"/>
        </w:numPr>
      </w:pPr>
      <w:r>
        <w:t>Not a strategic process</w:t>
      </w:r>
    </w:p>
    <w:p w:rsidR="00333D6B" w:rsidRPr="0081114A" w:rsidRDefault="00333D6B" w:rsidP="00333D6B">
      <w:pPr>
        <w:pStyle w:val="ListParagraph"/>
        <w:numPr>
          <w:ilvl w:val="0"/>
          <w:numId w:val="4"/>
        </w:numPr>
        <w:rPr>
          <w:i/>
        </w:rPr>
      </w:pPr>
      <w:r w:rsidRPr="0081114A">
        <w:rPr>
          <w:i/>
        </w:rPr>
        <w:t xml:space="preserve">2015-16 Equipment and IT Hardware Budget: </w:t>
      </w:r>
      <w:r w:rsidR="0081114A" w:rsidRPr="0081114A">
        <w:rPr>
          <w:i/>
        </w:rPr>
        <w:t>$</w:t>
      </w:r>
      <w:r w:rsidR="001625B5">
        <w:rPr>
          <w:i/>
        </w:rPr>
        <w:t>500</w:t>
      </w:r>
      <w:r w:rsidR="0081114A" w:rsidRPr="0081114A">
        <w:rPr>
          <w:i/>
        </w:rPr>
        <w:t>k</w:t>
      </w:r>
      <w:r w:rsidR="009B4D1C">
        <w:rPr>
          <w:i/>
        </w:rPr>
        <w:t xml:space="preserve"> (.4%)</w:t>
      </w:r>
    </w:p>
    <w:p w:rsidR="0081114A" w:rsidRDefault="0081114A" w:rsidP="0081114A">
      <w:pPr>
        <w:pStyle w:val="ListParagraph"/>
        <w:numPr>
          <w:ilvl w:val="1"/>
          <w:numId w:val="4"/>
        </w:numPr>
      </w:pPr>
      <w:r>
        <w:t>Previous three year spending ranges from $1.6 - $2.2 million per year</w:t>
      </w:r>
    </w:p>
    <w:p w:rsidR="004660B8" w:rsidRPr="00E116A9" w:rsidRDefault="004660B8" w:rsidP="004660B8">
      <w:pPr>
        <w:pStyle w:val="ListParagraph"/>
        <w:numPr>
          <w:ilvl w:val="0"/>
          <w:numId w:val="4"/>
        </w:numPr>
      </w:pPr>
      <w:r>
        <w:t>Projected annual IT hardware refresh on 4 year cycle: $1.65 million</w:t>
      </w:r>
    </w:p>
    <w:p w:rsidR="00DF0CC0" w:rsidRDefault="009B4D1C" w:rsidP="004D422E">
      <w:pPr>
        <w:pStyle w:val="Heading3"/>
      </w:pPr>
      <w:r>
        <w:t>Maintain/r</w:t>
      </w:r>
      <w:r w:rsidR="00D90AE1" w:rsidRPr="004D422E">
        <w:t xml:space="preserve">efresh </w:t>
      </w:r>
      <w:r>
        <w:t>c</w:t>
      </w:r>
      <w:r w:rsidR="00D90AE1" w:rsidRPr="004D422E">
        <w:t>ollections, including Library</w:t>
      </w:r>
    </w:p>
    <w:p w:rsidR="00B672A9" w:rsidRPr="00B672A9" w:rsidRDefault="00B672A9" w:rsidP="00B672A9">
      <w:pPr>
        <w:pStyle w:val="ListParagraph"/>
        <w:numPr>
          <w:ilvl w:val="0"/>
          <w:numId w:val="7"/>
        </w:numPr>
      </w:pPr>
      <w:r>
        <w:t>Library collections include books, book binding, serials, and periodicals</w:t>
      </w:r>
    </w:p>
    <w:p w:rsidR="00883F23" w:rsidRPr="00B672A9" w:rsidRDefault="00B672A9" w:rsidP="00B672A9">
      <w:pPr>
        <w:pStyle w:val="ListParagraph"/>
        <w:numPr>
          <w:ilvl w:val="0"/>
          <w:numId w:val="6"/>
        </w:numPr>
        <w:rPr>
          <w:i/>
        </w:rPr>
      </w:pPr>
      <w:r w:rsidRPr="00B672A9">
        <w:rPr>
          <w:i/>
        </w:rPr>
        <w:t>2015-16 Library Collections Budget: $3</w:t>
      </w:r>
      <w:r w:rsidR="001625B5">
        <w:rPr>
          <w:i/>
        </w:rPr>
        <w:t>00</w:t>
      </w:r>
      <w:r w:rsidRPr="00B672A9">
        <w:rPr>
          <w:i/>
        </w:rPr>
        <w:t>k</w:t>
      </w:r>
      <w:r w:rsidR="009B4D1C">
        <w:rPr>
          <w:i/>
        </w:rPr>
        <w:t xml:space="preserve"> (.2%)</w:t>
      </w:r>
    </w:p>
    <w:p w:rsidR="00B672A9" w:rsidRDefault="00B672A9" w:rsidP="00B672A9">
      <w:pPr>
        <w:pStyle w:val="ListParagraph"/>
        <w:numPr>
          <w:ilvl w:val="1"/>
          <w:numId w:val="6"/>
        </w:numPr>
      </w:pPr>
      <w:r>
        <w:t xml:space="preserve">Previous three year spending </w:t>
      </w:r>
      <w:r w:rsidR="00C42B13">
        <w:t>is around $15</w:t>
      </w:r>
      <w:r>
        <w:t>0k per year</w:t>
      </w:r>
    </w:p>
    <w:p w:rsidR="00B672A9" w:rsidRPr="00883F23" w:rsidRDefault="00B672A9" w:rsidP="00B672A9">
      <w:pPr>
        <w:pStyle w:val="ListParagraph"/>
        <w:numPr>
          <w:ilvl w:val="0"/>
          <w:numId w:val="6"/>
        </w:numPr>
      </w:pPr>
      <w:r>
        <w:t>What other collections need to be factored in?</w:t>
      </w:r>
    </w:p>
    <w:p w:rsidR="00DF0CC0" w:rsidRDefault="00D90AE1" w:rsidP="004D422E">
      <w:pPr>
        <w:pStyle w:val="Heading3"/>
      </w:pPr>
      <w:r w:rsidRPr="004D422E">
        <w:t>Maintain/improve brand</w:t>
      </w:r>
    </w:p>
    <w:p w:rsidR="004660B8" w:rsidRDefault="004660B8" w:rsidP="004660B8">
      <w:pPr>
        <w:pStyle w:val="ListParagraph"/>
        <w:numPr>
          <w:ilvl w:val="0"/>
          <w:numId w:val="11"/>
        </w:numPr>
      </w:pPr>
      <w:r>
        <w:t>Our brand represents an intangible asset</w:t>
      </w:r>
    </w:p>
    <w:p w:rsidR="004660B8" w:rsidRPr="004660B8" w:rsidRDefault="004660B8" w:rsidP="004660B8">
      <w:pPr>
        <w:pStyle w:val="ListParagraph"/>
        <w:numPr>
          <w:ilvl w:val="0"/>
          <w:numId w:val="11"/>
        </w:numPr>
      </w:pPr>
      <w:r>
        <w:t>How do we quantify this?</w:t>
      </w:r>
    </w:p>
    <w:p w:rsidR="00DF0CC0" w:rsidRDefault="00D90AE1" w:rsidP="001625B5">
      <w:pPr>
        <w:pStyle w:val="Heading2"/>
      </w:pPr>
      <w:r w:rsidRPr="004D422E">
        <w:t>Consumables</w:t>
      </w:r>
    </w:p>
    <w:p w:rsidR="004660B8" w:rsidRDefault="004660B8" w:rsidP="004660B8">
      <w:pPr>
        <w:pStyle w:val="ListParagraph"/>
        <w:numPr>
          <w:ilvl w:val="0"/>
          <w:numId w:val="12"/>
        </w:numPr>
      </w:pPr>
      <w:r>
        <w:t>Reflects costs such as utilities, insurance, and supplies and services</w:t>
      </w:r>
    </w:p>
    <w:p w:rsidR="004660B8" w:rsidRPr="004660B8" w:rsidRDefault="004660B8" w:rsidP="004660B8">
      <w:pPr>
        <w:pStyle w:val="ListParagraph"/>
        <w:numPr>
          <w:ilvl w:val="0"/>
          <w:numId w:val="12"/>
        </w:numPr>
        <w:rPr>
          <w:i/>
        </w:rPr>
      </w:pPr>
      <w:r w:rsidRPr="004660B8">
        <w:rPr>
          <w:i/>
        </w:rPr>
        <w:t>2015-16 Budget: $15.</w:t>
      </w:r>
      <w:r w:rsidR="00C42B13">
        <w:rPr>
          <w:i/>
        </w:rPr>
        <w:t>6</w:t>
      </w:r>
      <w:r w:rsidRPr="004660B8">
        <w:rPr>
          <w:i/>
        </w:rPr>
        <w:t xml:space="preserve"> million</w:t>
      </w:r>
      <w:r w:rsidR="009B4D1C">
        <w:rPr>
          <w:i/>
        </w:rPr>
        <w:t xml:space="preserve"> (12.5%)</w:t>
      </w:r>
    </w:p>
    <w:p w:rsidR="004660B8" w:rsidRPr="001625B5" w:rsidRDefault="004660B8" w:rsidP="004660B8">
      <w:pPr>
        <w:pStyle w:val="ListParagraph"/>
        <w:numPr>
          <w:ilvl w:val="1"/>
          <w:numId w:val="12"/>
        </w:numPr>
      </w:pPr>
      <w:r>
        <w:t xml:space="preserve">Currently, </w:t>
      </w:r>
      <w:r w:rsidR="00054DF0">
        <w:t xml:space="preserve">consumables amount </w:t>
      </w:r>
      <w:r>
        <w:t>does not include any costs related to personnel</w:t>
      </w:r>
    </w:p>
    <w:p w:rsidR="00DF0CC0" w:rsidRDefault="00D90AE1" w:rsidP="001625B5">
      <w:pPr>
        <w:pStyle w:val="Heading2"/>
      </w:pPr>
      <w:r w:rsidRPr="004D422E">
        <w:t>Contingency/emergencies</w:t>
      </w:r>
      <w:r w:rsidR="009B4D1C">
        <w:t xml:space="preserve"> (URPC,</w:t>
      </w:r>
      <w:r w:rsidRPr="004D422E">
        <w:t xml:space="preserve"> 4%)</w:t>
      </w:r>
    </w:p>
    <w:p w:rsidR="001625B5" w:rsidRDefault="004660B8" w:rsidP="001625B5">
      <w:pPr>
        <w:pStyle w:val="ListParagraph"/>
        <w:numPr>
          <w:ilvl w:val="0"/>
          <w:numId w:val="10"/>
        </w:numPr>
        <w:rPr>
          <w:i/>
        </w:rPr>
      </w:pPr>
      <w:r w:rsidRPr="004660B8">
        <w:rPr>
          <w:i/>
        </w:rPr>
        <w:t>2015-16 Base Budget Contingency: $260k</w:t>
      </w:r>
      <w:r w:rsidR="009B4D1C">
        <w:rPr>
          <w:i/>
        </w:rPr>
        <w:t xml:space="preserve"> (.2%)</w:t>
      </w:r>
    </w:p>
    <w:p w:rsidR="004660B8" w:rsidRPr="004660B8" w:rsidRDefault="004660B8" w:rsidP="001625B5">
      <w:pPr>
        <w:pStyle w:val="ListParagraph"/>
        <w:numPr>
          <w:ilvl w:val="0"/>
          <w:numId w:val="10"/>
        </w:numPr>
      </w:pPr>
      <w:r w:rsidRPr="004660B8">
        <w:t>4% = $5 million</w:t>
      </w:r>
    </w:p>
    <w:p w:rsidR="00DF0CC0" w:rsidRPr="004D422E" w:rsidRDefault="00D90AE1" w:rsidP="001625B5">
      <w:pPr>
        <w:pStyle w:val="Heading2"/>
      </w:pPr>
      <w:r w:rsidRPr="004D422E">
        <w:lastRenderedPageBreak/>
        <w:t>Reserves (Dennis, 10%)</w:t>
      </w:r>
    </w:p>
    <w:p w:rsidR="00E574E9" w:rsidRPr="004660B8" w:rsidRDefault="004660B8" w:rsidP="004660B8">
      <w:pPr>
        <w:pStyle w:val="ListParagraph"/>
        <w:numPr>
          <w:ilvl w:val="0"/>
          <w:numId w:val="10"/>
        </w:numPr>
        <w:rPr>
          <w:i/>
        </w:rPr>
      </w:pPr>
      <w:r w:rsidRPr="004660B8">
        <w:rPr>
          <w:i/>
        </w:rPr>
        <w:t xml:space="preserve">2015-16 Projected Ending </w:t>
      </w:r>
      <w:r>
        <w:rPr>
          <w:i/>
        </w:rPr>
        <w:t>Operating Fund Reserve Level: $4.7</w:t>
      </w:r>
      <w:r w:rsidRPr="004660B8">
        <w:rPr>
          <w:i/>
        </w:rPr>
        <w:t xml:space="preserve"> million</w:t>
      </w:r>
      <w:r w:rsidR="009B4D1C">
        <w:rPr>
          <w:i/>
        </w:rPr>
        <w:t xml:space="preserve"> (3.7%)</w:t>
      </w:r>
    </w:p>
    <w:p w:rsidR="004660B8" w:rsidRDefault="004660B8" w:rsidP="004660B8">
      <w:pPr>
        <w:pStyle w:val="ListParagraph"/>
        <w:numPr>
          <w:ilvl w:val="1"/>
          <w:numId w:val="10"/>
        </w:numPr>
      </w:pPr>
      <w:r>
        <w:t>Updated Projection: $5.7 million</w:t>
      </w:r>
      <w:r w:rsidR="009B4D1C">
        <w:t xml:space="preserve"> (4.5%) - </w:t>
      </w:r>
      <w:r>
        <w:t xml:space="preserve">we are getting $1 </w:t>
      </w:r>
      <w:r w:rsidR="009B4D1C">
        <w:t>million CMS Loan reimbursement!</w:t>
      </w:r>
    </w:p>
    <w:p w:rsidR="009B4D1C" w:rsidRDefault="009B4D1C" w:rsidP="009B4D1C">
      <w:pPr>
        <w:pStyle w:val="ListParagraph"/>
        <w:numPr>
          <w:ilvl w:val="0"/>
          <w:numId w:val="10"/>
        </w:numPr>
      </w:pPr>
      <w:r>
        <w:t>10% = $12.5 million</w:t>
      </w:r>
    </w:p>
    <w:sectPr w:rsidR="009B4D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66" w:rsidRDefault="004D1666" w:rsidP="00464371">
      <w:pPr>
        <w:spacing w:after="0" w:line="240" w:lineRule="auto"/>
      </w:pPr>
      <w:r>
        <w:separator/>
      </w:r>
    </w:p>
  </w:endnote>
  <w:endnote w:type="continuationSeparator" w:id="0">
    <w:p w:rsidR="004D1666" w:rsidRDefault="004D1666" w:rsidP="004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66" w:rsidRDefault="004D1666" w:rsidP="00464371">
      <w:pPr>
        <w:spacing w:after="0" w:line="240" w:lineRule="auto"/>
      </w:pPr>
      <w:r>
        <w:separator/>
      </w:r>
    </w:p>
  </w:footnote>
  <w:footnote w:type="continuationSeparator" w:id="0">
    <w:p w:rsidR="004D1666" w:rsidRDefault="004D1666" w:rsidP="004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71" w:rsidRDefault="004643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371" w:rsidRDefault="00464371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STRATEGIC BUDGET CATEGORIES OVERVIEW</w:t>
                          </w:r>
                          <w:r w:rsidR="009B4D1C">
                            <w:rPr>
                              <w:noProof/>
                            </w:rPr>
                            <w:t xml:space="preserve"> (9-25-15</w:t>
                          </w:r>
                          <w:r w:rsidR="001B22B6">
                            <w:rPr>
                              <w:noProof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464371" w:rsidRDefault="00464371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STRATEGIC BUDGET CATEGORIES OVERVIEW</w:t>
                    </w:r>
                    <w:r w:rsidR="009B4D1C">
                      <w:rPr>
                        <w:noProof/>
                      </w:rPr>
                      <w:t xml:space="preserve"> (9-25-15</w:t>
                    </w:r>
                    <w:r w:rsidR="001B22B6">
                      <w:rPr>
                        <w:noProof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3B9154"/>
                      </a:solidFill>
                      <a:ln>
                        <a:noFill/>
                      </a:ln>
                    </wps:spPr>
                    <wps:txbx>
                      <w:txbxContent>
                        <w:p w:rsidR="00464371" w:rsidRDefault="0046437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551D7" w:rsidRPr="00A551D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" o:allowincell="f" fillcolor="#3b9154" stroked="f">
              <v:textbox style="mso-fit-shape-to-text:t" inset=",0,,0">
                <w:txbxContent>
                  <w:p w:rsidR="00464371" w:rsidRDefault="0046437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551D7" w:rsidRPr="00A551D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32C"/>
    <w:multiLevelType w:val="hybridMultilevel"/>
    <w:tmpl w:val="94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63DC"/>
    <w:multiLevelType w:val="hybridMultilevel"/>
    <w:tmpl w:val="81C0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603"/>
    <w:multiLevelType w:val="hybridMultilevel"/>
    <w:tmpl w:val="478E8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4431"/>
    <w:multiLevelType w:val="hybridMultilevel"/>
    <w:tmpl w:val="B898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62E07"/>
    <w:multiLevelType w:val="hybridMultilevel"/>
    <w:tmpl w:val="0FA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C420A"/>
    <w:multiLevelType w:val="hybridMultilevel"/>
    <w:tmpl w:val="90D6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96659"/>
    <w:multiLevelType w:val="hybridMultilevel"/>
    <w:tmpl w:val="4070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191"/>
    <w:multiLevelType w:val="hybridMultilevel"/>
    <w:tmpl w:val="007C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B285C"/>
    <w:multiLevelType w:val="hybridMultilevel"/>
    <w:tmpl w:val="0B8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5FE4"/>
    <w:multiLevelType w:val="hybridMultilevel"/>
    <w:tmpl w:val="E46A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553D2"/>
    <w:multiLevelType w:val="hybridMultilevel"/>
    <w:tmpl w:val="F13A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F7A4B"/>
    <w:multiLevelType w:val="hybridMultilevel"/>
    <w:tmpl w:val="D07CAC38"/>
    <w:lvl w:ilvl="0" w:tplc="5FC2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2D186">
      <w:start w:val="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02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42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E7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8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3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2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2E"/>
    <w:rsid w:val="00054DF0"/>
    <w:rsid w:val="001625B5"/>
    <w:rsid w:val="00194991"/>
    <w:rsid w:val="001B22B6"/>
    <w:rsid w:val="001C4A39"/>
    <w:rsid w:val="00262054"/>
    <w:rsid w:val="002D1BC8"/>
    <w:rsid w:val="00333D6B"/>
    <w:rsid w:val="00464371"/>
    <w:rsid w:val="004660B8"/>
    <w:rsid w:val="004D1666"/>
    <w:rsid w:val="004D422E"/>
    <w:rsid w:val="006536AD"/>
    <w:rsid w:val="006B632B"/>
    <w:rsid w:val="007C75BD"/>
    <w:rsid w:val="0081114A"/>
    <w:rsid w:val="00883F23"/>
    <w:rsid w:val="0089506F"/>
    <w:rsid w:val="009B4D1C"/>
    <w:rsid w:val="009C2CCC"/>
    <w:rsid w:val="00A551D7"/>
    <w:rsid w:val="00B672A9"/>
    <w:rsid w:val="00C42B13"/>
    <w:rsid w:val="00CE720E"/>
    <w:rsid w:val="00D90AE1"/>
    <w:rsid w:val="00DF0CC0"/>
    <w:rsid w:val="00E1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6B6FEC-43DC-494D-A685-760A9AC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2E"/>
  </w:style>
  <w:style w:type="paragraph" w:styleId="Heading1">
    <w:name w:val="heading 1"/>
    <w:basedOn w:val="Normal"/>
    <w:next w:val="Normal"/>
    <w:link w:val="Heading1Char"/>
    <w:uiPriority w:val="9"/>
    <w:qFormat/>
    <w:rsid w:val="004D4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3F23"/>
    <w:pPr>
      <w:keepNext/>
      <w:keepLines/>
      <w:spacing w:before="120" w:after="40"/>
      <w:ind w:left="144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4D422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4D4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4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6A9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3F23"/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71"/>
  </w:style>
  <w:style w:type="paragraph" w:styleId="Footer">
    <w:name w:val="footer"/>
    <w:basedOn w:val="Normal"/>
    <w:link w:val="FooterChar"/>
    <w:uiPriority w:val="99"/>
    <w:unhideWhenUsed/>
    <w:rsid w:val="004643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5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3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7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L. Blakeslee</dc:creator>
  <cp:keywords/>
  <dc:description/>
  <cp:lastModifiedBy>Amber L. Blakeslee</cp:lastModifiedBy>
  <cp:revision>2</cp:revision>
  <cp:lastPrinted>2015-09-22T19:46:00Z</cp:lastPrinted>
  <dcterms:created xsi:type="dcterms:W3CDTF">2015-10-01T16:46:00Z</dcterms:created>
  <dcterms:modified xsi:type="dcterms:W3CDTF">2015-10-01T16:46:00Z</dcterms:modified>
</cp:coreProperties>
</file>