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A5" w:rsidRDefault="000317D3" w:rsidP="003419C1">
      <w:pPr>
        <w:pStyle w:val="Heading1"/>
      </w:pPr>
      <w:bookmarkStart w:id="0" w:name="_GoBack"/>
      <w:bookmarkEnd w:id="0"/>
      <w:r w:rsidRPr="00A54BE3">
        <w:t>URPC Principles</w:t>
      </w:r>
      <w:r w:rsidR="00000280">
        <w:t xml:space="preserve"> from </w:t>
      </w:r>
      <w:proofErr w:type="gramStart"/>
      <w:r w:rsidR="00000280">
        <w:t>Spring</w:t>
      </w:r>
      <w:proofErr w:type="gramEnd"/>
      <w:r w:rsidR="00000280">
        <w:t xml:space="preserve"> 2015</w:t>
      </w:r>
    </w:p>
    <w:p w:rsidR="00000280" w:rsidRDefault="00000280" w:rsidP="00000280">
      <w:pPr>
        <w:pStyle w:val="ListParagraph"/>
        <w:numPr>
          <w:ilvl w:val="0"/>
          <w:numId w:val="9"/>
        </w:numPr>
        <w:spacing w:after="120" w:line="276" w:lineRule="auto"/>
      </w:pPr>
      <w:r>
        <w:t>Achieve a balanced budget by 2017-18</w:t>
      </w:r>
    </w:p>
    <w:p w:rsidR="00000280" w:rsidRDefault="00000280" w:rsidP="00000280">
      <w:pPr>
        <w:pStyle w:val="ListParagraph"/>
        <w:numPr>
          <w:ilvl w:val="0"/>
          <w:numId w:val="9"/>
        </w:numPr>
        <w:spacing w:after="120" w:line="276" w:lineRule="auto"/>
      </w:pPr>
      <w:r>
        <w:t>Build an operating reserve equal to 4% (2% contingency and 2% current operations) by 2019-20</w:t>
      </w:r>
    </w:p>
    <w:p w:rsidR="00000280" w:rsidRDefault="00000280" w:rsidP="00000280">
      <w:pPr>
        <w:pStyle w:val="ListParagraph"/>
        <w:numPr>
          <w:ilvl w:val="0"/>
          <w:numId w:val="9"/>
        </w:numPr>
        <w:spacing w:after="120" w:line="276" w:lineRule="auto"/>
      </w:pPr>
      <w:r>
        <w:t>Allocations will be contingent on available funding</w:t>
      </w:r>
    </w:p>
    <w:p w:rsidR="00000280" w:rsidRPr="00387274" w:rsidRDefault="00000280" w:rsidP="00000280">
      <w:pPr>
        <w:pStyle w:val="ListParagraph"/>
        <w:numPr>
          <w:ilvl w:val="0"/>
          <w:numId w:val="9"/>
        </w:numPr>
        <w:spacing w:after="120" w:line="276" w:lineRule="auto"/>
      </w:pPr>
      <w:r>
        <w:t xml:space="preserve">Allocations will not be distributed until costs have been committed or incurred </w:t>
      </w:r>
    </w:p>
    <w:p w:rsidR="009A32A5" w:rsidRPr="00A54BE3" w:rsidRDefault="000317D3" w:rsidP="003419C1">
      <w:pPr>
        <w:pStyle w:val="Heading1"/>
      </w:pPr>
      <w:r w:rsidRPr="00A54BE3">
        <w:t>Dennis’ Strategic Budgeting Principles</w:t>
      </w:r>
    </w:p>
    <w:p w:rsidR="009A32A5" w:rsidRPr="00A54BE3" w:rsidRDefault="000317D3" w:rsidP="00552963">
      <w:pPr>
        <w:pStyle w:val="ListParagraph"/>
        <w:numPr>
          <w:ilvl w:val="0"/>
          <w:numId w:val="3"/>
        </w:numPr>
      </w:pPr>
      <w:r w:rsidRPr="00A54BE3">
        <w:t>Budgeting should be driven by academic decisions</w:t>
      </w:r>
    </w:p>
    <w:p w:rsidR="009A32A5" w:rsidRPr="00A54BE3" w:rsidRDefault="000317D3" w:rsidP="00552963">
      <w:pPr>
        <w:pStyle w:val="ListParagraph"/>
        <w:numPr>
          <w:ilvl w:val="0"/>
          <w:numId w:val="3"/>
        </w:numPr>
      </w:pPr>
      <w:r w:rsidRPr="00A54BE3">
        <w:t>Know the asset structure you’d like to have—what adjustments would be most desirable?</w:t>
      </w:r>
    </w:p>
    <w:p w:rsidR="009A32A5" w:rsidRPr="00A54BE3" w:rsidRDefault="000317D3" w:rsidP="00552963">
      <w:pPr>
        <w:pStyle w:val="ListParagraph"/>
        <w:numPr>
          <w:ilvl w:val="0"/>
          <w:numId w:val="3"/>
        </w:numPr>
      </w:pPr>
      <w:r w:rsidRPr="00A54BE3">
        <w:t>Recognize that uncertainty is the norm</w:t>
      </w:r>
    </w:p>
    <w:p w:rsidR="009A32A5" w:rsidRPr="00A54BE3" w:rsidRDefault="000317D3" w:rsidP="00552963">
      <w:pPr>
        <w:pStyle w:val="ListParagraph"/>
        <w:numPr>
          <w:ilvl w:val="0"/>
          <w:numId w:val="3"/>
        </w:numPr>
      </w:pPr>
      <w:r w:rsidRPr="00A54BE3">
        <w:t>Create circumstances that let you avoid decisions made in a crisis environment—the necessity of a contingency fund</w:t>
      </w:r>
    </w:p>
    <w:p w:rsidR="009A32A5" w:rsidRPr="00A54BE3" w:rsidRDefault="000317D3" w:rsidP="00552963">
      <w:pPr>
        <w:pStyle w:val="ListParagraph"/>
        <w:numPr>
          <w:ilvl w:val="0"/>
          <w:numId w:val="3"/>
        </w:numPr>
      </w:pPr>
      <w:r w:rsidRPr="00A54BE3">
        <w:t>Don’t take anything off the table before you start – especially personnel</w:t>
      </w:r>
    </w:p>
    <w:p w:rsidR="009A32A5" w:rsidRPr="00A54BE3" w:rsidRDefault="000317D3" w:rsidP="00552963">
      <w:pPr>
        <w:pStyle w:val="ListParagraph"/>
        <w:numPr>
          <w:ilvl w:val="0"/>
          <w:numId w:val="3"/>
        </w:numPr>
      </w:pPr>
      <w:r w:rsidRPr="00A54BE3">
        <w:t>Protect (some) resources for strategic investments even in tough times</w:t>
      </w:r>
    </w:p>
    <w:p w:rsidR="009A32A5" w:rsidRPr="00A54BE3" w:rsidRDefault="000317D3" w:rsidP="00552963">
      <w:pPr>
        <w:pStyle w:val="ListParagraph"/>
        <w:numPr>
          <w:ilvl w:val="0"/>
          <w:numId w:val="3"/>
        </w:numPr>
      </w:pPr>
      <w:r w:rsidRPr="00A54BE3">
        <w:t>Use tough times as a rationale for change</w:t>
      </w:r>
    </w:p>
    <w:p w:rsidR="00552963" w:rsidRDefault="00552963" w:rsidP="003419C1">
      <w:pPr>
        <w:pStyle w:val="Heading1"/>
        <w:rPr>
          <w:rFonts w:eastAsiaTheme="minorHAnsi"/>
        </w:rPr>
      </w:pPr>
      <w:r>
        <w:rPr>
          <w:rFonts w:eastAsiaTheme="minorHAnsi"/>
        </w:rPr>
        <w:t>Principles found at other institutions:</w:t>
      </w:r>
    </w:p>
    <w:p w:rsidR="00552963" w:rsidRPr="00552963" w:rsidRDefault="00552963" w:rsidP="00E3202F">
      <w:pPr>
        <w:pStyle w:val="ListParagraph"/>
        <w:numPr>
          <w:ilvl w:val="0"/>
          <w:numId w:val="8"/>
        </w:numPr>
      </w:pPr>
      <w:r w:rsidRPr="00552963">
        <w:t>The budget must include investment strategies to achieve quality as reflected in academic excellence and institutional integrity.</w:t>
      </w:r>
    </w:p>
    <w:p w:rsidR="00552963" w:rsidRPr="00552963" w:rsidRDefault="00552963" w:rsidP="00E3202F">
      <w:pPr>
        <w:pStyle w:val="ListParagraph"/>
        <w:numPr>
          <w:ilvl w:val="0"/>
          <w:numId w:val="8"/>
        </w:numPr>
      </w:pPr>
      <w:r w:rsidRPr="00552963">
        <w:t>The budget should be constructed both to cover current costs and provide for strategic reinvestment to enhance the quality of existing programs and to develop new University initiatives.</w:t>
      </w:r>
    </w:p>
    <w:p w:rsidR="00552963" w:rsidRPr="00552963" w:rsidRDefault="00552963" w:rsidP="00E3202F">
      <w:pPr>
        <w:pStyle w:val="ListParagraph"/>
        <w:numPr>
          <w:ilvl w:val="0"/>
          <w:numId w:val="8"/>
        </w:numPr>
      </w:pPr>
      <w:r w:rsidRPr="00552963">
        <w:t>The budget must be balanced on an annual basis, and be sustainable into future years.</w:t>
      </w:r>
    </w:p>
    <w:p w:rsidR="00552963" w:rsidRPr="00552963" w:rsidRDefault="00552963" w:rsidP="00E3202F">
      <w:pPr>
        <w:pStyle w:val="ListParagraph"/>
        <w:numPr>
          <w:ilvl w:val="0"/>
          <w:numId w:val="8"/>
        </w:numPr>
      </w:pPr>
      <w:r w:rsidRPr="00552963">
        <w:t>New approaches to doing business must be explored to free up existing resources.</w:t>
      </w:r>
    </w:p>
    <w:p w:rsidR="00552963" w:rsidRPr="00552963" w:rsidRDefault="00552963" w:rsidP="00E3202F">
      <w:pPr>
        <w:pStyle w:val="ListParagraph"/>
        <w:numPr>
          <w:ilvl w:val="0"/>
          <w:numId w:val="8"/>
        </w:numPr>
      </w:pPr>
      <w:r w:rsidRPr="00552963">
        <w:t>Our contingency/reserve policy must be carefully monitored to ensure that unit, college, school, and University goals can be achieved through careful planning.</w:t>
      </w:r>
    </w:p>
    <w:p w:rsidR="00E574E9" w:rsidRDefault="00552963" w:rsidP="00E3202F">
      <w:pPr>
        <w:pStyle w:val="ListParagraph"/>
        <w:numPr>
          <w:ilvl w:val="0"/>
          <w:numId w:val="8"/>
        </w:numPr>
      </w:pPr>
      <w:r w:rsidRPr="00552963">
        <w:t>Budget planning and development should not only be grounded in careful analysis of relevant data, but should also include assessment and accountability measures to gauge progress toward achieving our goals.</w:t>
      </w:r>
      <w:r w:rsidR="00000280">
        <w:t xml:space="preserve"> VM</w:t>
      </w:r>
    </w:p>
    <w:p w:rsidR="00E3202F" w:rsidRPr="003419C1" w:rsidRDefault="00E3202F" w:rsidP="00E3202F">
      <w:pPr>
        <w:pStyle w:val="ListParagraph"/>
        <w:numPr>
          <w:ilvl w:val="0"/>
          <w:numId w:val="8"/>
        </w:numPr>
      </w:pPr>
      <w:r w:rsidRPr="003419C1">
        <w:t>Promote authority, responsibility, and accountability, both locally and university-wide</w:t>
      </w:r>
    </w:p>
    <w:p w:rsidR="00E3202F" w:rsidRPr="003419C1" w:rsidRDefault="00E3202F" w:rsidP="00000280">
      <w:pPr>
        <w:pStyle w:val="ListParagraph"/>
        <w:numPr>
          <w:ilvl w:val="0"/>
          <w:numId w:val="8"/>
        </w:numPr>
      </w:pPr>
      <w:r w:rsidRPr="003419C1">
        <w:t>Provide incentives for effective management of both revenues and expenses and reward creativity and innovation</w:t>
      </w:r>
      <w:r w:rsidR="00000280" w:rsidRPr="003419C1">
        <w:t xml:space="preserve"> AUBURN</w:t>
      </w:r>
    </w:p>
    <w:p w:rsidR="00000280" w:rsidRPr="003419C1" w:rsidRDefault="00000280" w:rsidP="00E3202F">
      <w:pPr>
        <w:pStyle w:val="ListParagraph"/>
        <w:numPr>
          <w:ilvl w:val="0"/>
          <w:numId w:val="8"/>
        </w:numPr>
      </w:pPr>
      <w:r w:rsidRPr="003419C1">
        <w:t>The budget process will be relatively simple – based on a few understandable metrics, consistent, and transparent</w:t>
      </w:r>
      <w:r w:rsidR="002327CF">
        <w:t xml:space="preserve"> URI</w:t>
      </w:r>
    </w:p>
    <w:p w:rsidR="00000280" w:rsidRPr="003419C1" w:rsidRDefault="00000280" w:rsidP="00000280">
      <w:pPr>
        <w:pStyle w:val="ListParagraph"/>
        <w:numPr>
          <w:ilvl w:val="1"/>
          <w:numId w:val="8"/>
        </w:numPr>
      </w:pPr>
      <w:r w:rsidRPr="003419C1">
        <w:t>It should include an open mechanism of communication between the divisions/unit and the SBPC (URPC equivalent)</w:t>
      </w:r>
    </w:p>
    <w:p w:rsidR="00000280" w:rsidRPr="003419C1" w:rsidRDefault="00000280" w:rsidP="00000280">
      <w:pPr>
        <w:pStyle w:val="ListParagraph"/>
        <w:numPr>
          <w:ilvl w:val="0"/>
          <w:numId w:val="8"/>
        </w:numPr>
      </w:pPr>
      <w:r w:rsidRPr="003419C1">
        <w:t>The budget will be sustainable and developed to support a sustainable mission</w:t>
      </w:r>
    </w:p>
    <w:p w:rsidR="00000280" w:rsidRPr="003419C1" w:rsidRDefault="00000280" w:rsidP="00000280">
      <w:pPr>
        <w:pStyle w:val="ListParagraph"/>
        <w:numPr>
          <w:ilvl w:val="1"/>
          <w:numId w:val="8"/>
        </w:numPr>
      </w:pPr>
      <w:r w:rsidRPr="003419C1">
        <w:t>Budget recover mechanisms will be established to adjust budgets and create potential for reallocation</w:t>
      </w:r>
    </w:p>
    <w:p w:rsidR="00000280" w:rsidRPr="003419C1" w:rsidRDefault="00000280" w:rsidP="00000280">
      <w:pPr>
        <w:pStyle w:val="ListParagraph"/>
        <w:numPr>
          <w:ilvl w:val="1"/>
          <w:numId w:val="8"/>
        </w:numPr>
      </w:pPr>
      <w:r w:rsidRPr="003419C1">
        <w:t>Investments in new initiatives within units should include resources from both the units and/or institutional allocations and reallocations</w:t>
      </w:r>
    </w:p>
    <w:sectPr w:rsidR="00000280" w:rsidRPr="00341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C8" w:rsidRDefault="007050C8" w:rsidP="002327CF">
      <w:pPr>
        <w:spacing w:after="0" w:line="240" w:lineRule="auto"/>
      </w:pPr>
      <w:r>
        <w:separator/>
      </w:r>
    </w:p>
  </w:endnote>
  <w:endnote w:type="continuationSeparator" w:id="0">
    <w:p w:rsidR="007050C8" w:rsidRDefault="007050C8" w:rsidP="0023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C8" w:rsidRDefault="007050C8" w:rsidP="002327CF">
      <w:pPr>
        <w:spacing w:after="0" w:line="240" w:lineRule="auto"/>
      </w:pPr>
      <w:r>
        <w:separator/>
      </w:r>
    </w:p>
  </w:footnote>
  <w:footnote w:type="continuationSeparator" w:id="0">
    <w:p w:rsidR="007050C8" w:rsidRDefault="007050C8" w:rsidP="0023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CF" w:rsidRDefault="002327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7CF" w:rsidRDefault="002327CF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GUIDING PRINCIPLES INFORMATION (9-25-15)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327CF" w:rsidRDefault="002327CF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GUIDING PRINCIPLES INFORMATION (9-25-15)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3B9140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7CF" w:rsidRDefault="002327C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2EC8" w:rsidRPr="00452EC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OsBgIAAPMDAAAOAAAAZHJzL2Uyb0RvYy54bWysU9tu2zAMfR+wfxD0vjjOti414hRtigwD&#10;ugvQ7gNkWbaFyaJGKbGzrx8lJ1m6vg17EcSLDnkOqdXN2Bu2V+g12JLnszlnykqotW1L/v1p+2bJ&#10;mQ/C1sKAVSU/KM9v1q9frQZXqAV0YGqFjECsLwZX8i4EV2SZl53qhZ+BU5aCDWAvApnYZjWKgdB7&#10;ky3m86tsAKwdglTek/d+CvJ1wm8aJcPXpvEqMFNy6i2kE9NZxTNbr0TRonCdlsc2xD900QttqegZ&#10;6l4EwXaoX0D1WiJ4aMJMQp9B02ipEgdik8//YvPYCacSFxLHu7NM/v/Byi/7b8h0XfLFIufMip6G&#10;9KTGwO5gZNFHCg3OF5T46Cg1jBSgSSe23j2A/OGZhU0nbKtuEWHolKipw/Qyu3g64fgIUg2foaZC&#10;YhcgAY0N9lE+EoQROk3qcJ5ObEaS8zrPl1cUkRTKP8yX+fvYWyaK02OHPnxU0LN4KTnS8BO42D/4&#10;MKWeUmItD0bXW21MMrCtNgbZXtCivL27zt+l3SD0Z2nGxmQL8dmEGD2JZSQ2UQxjNSZJz+JVUB+I&#10;NsK0f/Rf6NIB/uJsoN0ruf+5E6g4M58sSUfVqTwLyaALXnqrk1dYSRAllwE5m4xNmFZ751C3HdU4&#10;jemWhN7qJEKcyNTPsXHarCTj8RfE1b20U9afv7r+DQAA//8DAFBLAwQUAAYACAAAACEAD3cv8twA&#10;AAAEAQAADwAAAGRycy9kb3ducmV2LnhtbEyPwU7DMBBE70j8g7VI3KhDgFBCNlVB4gC3FCTEzY23&#10;SSBeB9tNU76+Lhe4rDSa0czbYjGZXozkfGcZ4XKWgCCure64QXh7fbqYg/BBsVa9ZULYk4dFeXpS&#10;qFzbHVc0rkIjYgn7XCG0IQy5lL5uySg/swNx9DbWGRWidI3UTu1iuellmiSZNKrjuNCqgR5bqr9W&#10;W4PwsXmZh8/l/v1G/ozP39XDbTpUDvH8bFregwg0hb8wHPEjOpSRaW23rL3oEeIj4fceveurDMQa&#10;Ic3uQJaF/A9fHgAAAP//AwBQSwECLQAUAAYACAAAACEAtoM4kv4AAADhAQAAEwAAAAAAAAAAAAAA&#10;AAAAAAAAW0NvbnRlbnRfVHlwZXNdLnhtbFBLAQItABQABgAIAAAAIQA4/SH/1gAAAJQBAAALAAAA&#10;AAAAAAAAAAAAAC8BAABfcmVscy8ucmVsc1BLAQItABQABgAIAAAAIQDcwKOsBgIAAPMDAAAOAAAA&#10;AAAAAAAAAAAAAC4CAABkcnMvZTJvRG9jLnhtbFBLAQItABQABgAIAAAAIQAPdy/y3AAAAAQBAAAP&#10;AAAAAAAAAAAAAAAAAGAEAABkcnMvZG93bnJldi54bWxQSwUGAAAAAAQABADzAAAAaQUAAAAA&#10;" o:allowincell="f" fillcolor="#3b9140" stroked="f">
              <v:textbox style="mso-fit-shape-to-text:t" inset=",0,,0">
                <w:txbxContent>
                  <w:p w:rsidR="002327CF" w:rsidRDefault="002327C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2EC8" w:rsidRPr="00452EC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044" w:hanging="372"/>
      </w:pPr>
      <w:rPr>
        <w:rFonts w:ascii="Times New Roman" w:hAnsi="Times New Roman" w:cs="Times New Roman"/>
        <w:b w:val="0"/>
        <w:bCs w:val="0"/>
        <w:w w:val="107"/>
        <w:sz w:val="23"/>
        <w:szCs w:val="23"/>
      </w:rPr>
    </w:lvl>
    <w:lvl w:ilvl="1">
      <w:numFmt w:val="bullet"/>
      <w:lvlText w:val="•"/>
      <w:lvlJc w:val="left"/>
      <w:pPr>
        <w:ind w:left="2958" w:hanging="372"/>
      </w:pPr>
    </w:lvl>
    <w:lvl w:ilvl="2">
      <w:numFmt w:val="bullet"/>
      <w:lvlText w:val="•"/>
      <w:lvlJc w:val="left"/>
      <w:pPr>
        <w:ind w:left="3872" w:hanging="372"/>
      </w:pPr>
    </w:lvl>
    <w:lvl w:ilvl="3">
      <w:numFmt w:val="bullet"/>
      <w:lvlText w:val="•"/>
      <w:lvlJc w:val="left"/>
      <w:pPr>
        <w:ind w:left="4787" w:hanging="372"/>
      </w:pPr>
    </w:lvl>
    <w:lvl w:ilvl="4">
      <w:numFmt w:val="bullet"/>
      <w:lvlText w:val="•"/>
      <w:lvlJc w:val="left"/>
      <w:pPr>
        <w:ind w:left="5701" w:hanging="372"/>
      </w:pPr>
    </w:lvl>
    <w:lvl w:ilvl="5">
      <w:numFmt w:val="bullet"/>
      <w:lvlText w:val="•"/>
      <w:lvlJc w:val="left"/>
      <w:pPr>
        <w:ind w:left="6615" w:hanging="372"/>
      </w:pPr>
    </w:lvl>
    <w:lvl w:ilvl="6">
      <w:numFmt w:val="bullet"/>
      <w:lvlText w:val="•"/>
      <w:lvlJc w:val="left"/>
      <w:pPr>
        <w:ind w:left="7529" w:hanging="372"/>
      </w:pPr>
    </w:lvl>
    <w:lvl w:ilvl="7">
      <w:numFmt w:val="bullet"/>
      <w:lvlText w:val="•"/>
      <w:lvlJc w:val="left"/>
      <w:pPr>
        <w:ind w:left="8443" w:hanging="372"/>
      </w:pPr>
    </w:lvl>
    <w:lvl w:ilvl="8">
      <w:numFmt w:val="bullet"/>
      <w:lvlText w:val="•"/>
      <w:lvlJc w:val="left"/>
      <w:pPr>
        <w:ind w:left="9357" w:hanging="372"/>
      </w:pPr>
    </w:lvl>
  </w:abstractNum>
  <w:abstractNum w:abstractNumId="1" w15:restartNumberingAfterBreak="0">
    <w:nsid w:val="1DA02C10"/>
    <w:multiLevelType w:val="multilevel"/>
    <w:tmpl w:val="36D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F4241"/>
    <w:multiLevelType w:val="hybridMultilevel"/>
    <w:tmpl w:val="D0BC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21A1"/>
    <w:multiLevelType w:val="hybridMultilevel"/>
    <w:tmpl w:val="855A45B2"/>
    <w:lvl w:ilvl="0" w:tplc="3A8A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00A82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E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B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E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8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2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C2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867E6F"/>
    <w:multiLevelType w:val="hybridMultilevel"/>
    <w:tmpl w:val="618A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43F1"/>
    <w:multiLevelType w:val="hybridMultilevel"/>
    <w:tmpl w:val="4AB8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DEE"/>
    <w:multiLevelType w:val="hybridMultilevel"/>
    <w:tmpl w:val="07C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840CE"/>
    <w:multiLevelType w:val="hybridMultilevel"/>
    <w:tmpl w:val="BC56B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17902"/>
    <w:multiLevelType w:val="hybridMultilevel"/>
    <w:tmpl w:val="935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E3"/>
    <w:rsid w:val="00000280"/>
    <w:rsid w:val="000317D3"/>
    <w:rsid w:val="00194991"/>
    <w:rsid w:val="002327CF"/>
    <w:rsid w:val="003419C1"/>
    <w:rsid w:val="00452EC8"/>
    <w:rsid w:val="00552963"/>
    <w:rsid w:val="007016EF"/>
    <w:rsid w:val="007050C8"/>
    <w:rsid w:val="007C75BD"/>
    <w:rsid w:val="009A32A5"/>
    <w:rsid w:val="00A54BE3"/>
    <w:rsid w:val="00D654D1"/>
    <w:rsid w:val="00E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13EF2-B2E2-4F91-B475-C4090F09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6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2963"/>
    <w:pPr>
      <w:widowControl w:val="0"/>
      <w:autoSpaceDE w:val="0"/>
      <w:autoSpaceDN w:val="0"/>
      <w:adjustRightInd w:val="0"/>
      <w:spacing w:after="0" w:line="240" w:lineRule="auto"/>
      <w:ind w:left="1723" w:firstLine="7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52963"/>
    <w:rPr>
      <w:rFonts w:ascii="Times New Roman" w:eastAsiaTheme="minorEastAsia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E3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CF"/>
  </w:style>
  <w:style w:type="paragraph" w:styleId="Footer">
    <w:name w:val="footer"/>
    <w:basedOn w:val="Normal"/>
    <w:link w:val="FooterChar"/>
    <w:uiPriority w:val="99"/>
    <w:unhideWhenUsed/>
    <w:rsid w:val="0023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605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3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9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8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6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L. Blakeslee</dc:creator>
  <cp:keywords/>
  <dc:description/>
  <cp:lastModifiedBy>Amber L. Blakeslee</cp:lastModifiedBy>
  <cp:revision>2</cp:revision>
  <dcterms:created xsi:type="dcterms:W3CDTF">2015-10-01T16:47:00Z</dcterms:created>
  <dcterms:modified xsi:type="dcterms:W3CDTF">2015-10-01T16:47:00Z</dcterms:modified>
</cp:coreProperties>
</file>